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Копии правоустанавливающих документов, подтверждающих право собственности подопечного и других собственников (при их наличии) на имущество, которое планируется сдать внаем или в аренду, передать в безвозмездное пользование или залог, в том числе на недвижимое имущество, права на которое не зарегистрированы в ЕГРН (в случае, если такие права зарегистрированы, - выписки из ЕГРН)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LibreOffice/6.2.3.2$Windows_x86 LibreOffice_project/aecc05fe267cc68dde00352a451aa867b3b546ac</Application>
  <Pages>1</Pages>
  <Words>51</Words>
  <Characters>329</Characters>
  <CharactersWithSpaces>379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2020-04-29T14:03:11Z</dcterms:modified>
  <cp:revision>25</cp:revision>
  <dc:subject/>
  <dc:title/>
</cp:coreProperties>
</file>